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Style w:val="5"/>
          <w:rFonts w:hint="eastAsia" w:ascii="黑体" w:hAnsi="黑体" w:eastAsia="黑体" w:cs="黑体"/>
          <w:i w:val="0"/>
          <w:iCs w:val="0"/>
          <w:caps w:val="0"/>
          <w:color w:val="4D4F53"/>
          <w:spacing w:val="0"/>
          <w:sz w:val="32"/>
          <w:szCs w:val="32"/>
          <w:highlight w:val="none"/>
          <w:shd w:val="clear" w:fill="FFFFFF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4D4F53"/>
          <w:spacing w:val="0"/>
          <w:sz w:val="32"/>
          <w:szCs w:val="32"/>
          <w:highlight w:val="none"/>
          <w:shd w:val="clear" w:fill="FFFFFF"/>
        </w:rPr>
        <w:t xml:space="preserve">中国共产党天津东疆保税港区委员会办公室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4D4F53"/>
          <w:spacing w:val="0"/>
          <w:sz w:val="32"/>
          <w:szCs w:val="32"/>
          <w:highlight w:val="none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4D4F53"/>
          <w:spacing w:val="0"/>
          <w:sz w:val="32"/>
          <w:szCs w:val="32"/>
          <w:highlight w:val="none"/>
          <w:shd w:val="clear" w:fill="FFFFFF"/>
        </w:rPr>
        <w:t>（管委会办公室）202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4D4F53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4D4F53"/>
          <w:spacing w:val="0"/>
          <w:sz w:val="32"/>
          <w:szCs w:val="32"/>
          <w:highlight w:val="none"/>
          <w:shd w:val="clear" w:fill="FFFFFF"/>
        </w:rPr>
        <w:t>年部门预算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4D4F53"/>
          <w:spacing w:val="0"/>
          <w:sz w:val="32"/>
          <w:szCs w:val="32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4D4F53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D4F53"/>
          <w:spacing w:val="0"/>
          <w:sz w:val="32"/>
          <w:szCs w:val="32"/>
          <w:highlight w:val="none"/>
          <w:shd w:val="clear" w:fill="FFFFFF"/>
        </w:rPr>
        <w:t>目   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一、部门主要职责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二、部门机构设置情况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三、部门预算草案编制情况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四、其他重要事项的情况说明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五、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202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年部门预算表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一、部门主要职责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负责党委日常事务，负责组织落实党委全面从严治党主体责任；负责管委会文秘、调研、督查、机要、档案、保密、信息公开、政务信息、人大、会务、接待、外事、港澳事务、机关事务管理、机关信息化建设、政法、司法、法制、国家安全、人民武装、平安建设等工作；承担本部门主管行业、业务的安全生产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二、部门机构设置情况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 xml:space="preserve">中国共产党天津东疆保税港区委员会办公室（以下简称“党委办”）内设 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u w:val="single"/>
          <w:shd w:val="clear" w:fill="FFFFFF"/>
        </w:rPr>
        <w:t xml:space="preserve">  7   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个职能科室；下辖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u w:val="single"/>
          <w:shd w:val="clear" w:fill="FFFFFF"/>
        </w:rPr>
        <w:t xml:space="preserve">   1  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个预算单位。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三、部门预算草案编制情况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（一）部门收入预算情况说明</w:t>
      </w:r>
    </w:p>
    <w:p>
      <w:pPr>
        <w:spacing w:line="600" w:lineRule="exact"/>
        <w:ind w:left="263" w:leftChars="125" w:firstLine="320" w:firstLineChars="100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部门收入预算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19868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57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万元，与2021年预算相比增加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13597.53</w:t>
      </w:r>
    </w:p>
    <w:p>
      <w:pPr>
        <w:spacing w:line="600" w:lineRule="exact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highlight w:val="none"/>
          <w:shd w:val="clear" w:fill="FFFFFF"/>
        </w:rPr>
        <w:t>主要原因是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highlight w:val="none"/>
          <w:u w:val="single"/>
          <w:shd w:val="clear" w:fill="FFFFFF"/>
        </w:rPr>
        <w:t>    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项目支出预算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highlight w:val="none"/>
          <w:u w:val="single"/>
          <w:shd w:val="clear" w:fill="FFFFFF"/>
        </w:rPr>
        <w:t>增加   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。其中，本年收入合计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19868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57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万元，与2021年预算相比增加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13597.53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highlight w:val="none"/>
          <w:shd w:val="clear" w:fill="FFFFFF"/>
        </w:rPr>
        <w:t>主要原因是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highlight w:val="none"/>
          <w:u w:val="single"/>
          <w:shd w:val="clear" w:fill="FFFFFF"/>
        </w:rPr>
        <w:t>    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项目支出预算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highlight w:val="none"/>
          <w:u w:val="single"/>
          <w:shd w:val="clear" w:fill="FFFFFF"/>
        </w:rPr>
        <w:t>增加  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包括一般公共预算拨款收入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19868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57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万元、政府性基金预算拨款收入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万元、国有资本经营预算拨款收入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万元、非同级财政拨款收入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万元、纳入财政专户的教育收费拨款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万元、其他事业收入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万元、经营收入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万元、上级补助收入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万元、附属单位上缴收入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万元、其他收入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万元；上年结转和结余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（二）部门支出预算情况说明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部门支出预算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19868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57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万元，与2021年预算相比增加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13597.53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highlight w:val="none"/>
          <w:shd w:val="clear" w:fill="FFFFFF"/>
        </w:rPr>
        <w:t>主要原因是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highlight w:val="none"/>
          <w:u w:val="single"/>
          <w:shd w:val="clear" w:fill="FFFFFF"/>
        </w:rPr>
        <w:t>    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项目支出预算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highlight w:val="none"/>
          <w:u w:val="single"/>
          <w:shd w:val="clear" w:fill="FFFFFF"/>
        </w:rPr>
        <w:t>增加  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highlight w:val="none"/>
          <w:u w:val="singl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2010301行政运行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科目支出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1706.30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万元，主要用于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人员支出及公用支出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2010302一般公共服务支出 — 政府办公厅（室）及相关机构事务 — 一般行政管理事务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科目支出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18005.8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万元，主要用于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体检、班车租赁、商务中心餐饮托管费用等一般行政管理事务项目支出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2010308一般公共服务支出 — 政府办公厅（室）及相关机构事务 —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信访事务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科目支出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8.81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万元，主要用于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综治、维稳、信访相关支出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2010901一般公共服务支出 — 政海关事务 —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行政运行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科目支出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147.60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万元，主要用于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海关各类班车租赁支出。</w:t>
      </w:r>
    </w:p>
    <w:p>
      <w:pPr>
        <w:spacing w:line="560" w:lineRule="exact"/>
        <w:ind w:firstLine="643" w:firstLineChars="200"/>
        <w:rPr>
          <w:rStyle w:val="5"/>
          <w:rFonts w:hint="eastAsia" w:ascii="楷体" w:hAnsi="楷体" w:eastAsia="楷体" w:cs="楷体"/>
          <w:i w:val="0"/>
          <w:iCs w:val="0"/>
          <w:caps w:val="0"/>
          <w:color w:val="32323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32323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（三）部门三公经费预算情况说明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2022年一般公共预算“三公”经费安排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45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万元，与2021年预算相比增加（减少）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。具体情况：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无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一、2022年因公出国（境）费预算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万元，与2021年预算相比增加（减少）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二、2022年公务用车购置及运行费预算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万元，其中公务用车运行费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万元，与2021年预算相比增加（减少）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；公务用车购置费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万元，与2021年预算相比增加（减少）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0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三、2022年公务接待费预算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万元，与2021年预算相比增加（减少）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四、其他重要事项的情况说明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（一）机关运行经费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本部门2022年安排机关运行经费预算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434.32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万元，包括办公费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28.89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元、印刷费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0.96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手续费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0.05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元、水费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0.62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元、邮电费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6.42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元、差旅费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34.72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元、租赁费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0.24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元、其他交通费用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0.26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元、会议费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1.07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元、培训费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0.96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元、被装购置费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0.30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元、维修（护）费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0.31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元、其他商品和服务支出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0.58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元、咨询费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1.05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元、劳务费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0.09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元、委托业务费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1.59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元、其他交通费用（租车费）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270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万元、办公设备购置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17.52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万元、未细化日常办公费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23.7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万元、公务接待费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万元，公务用车运行维护费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（二）政府采购情况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本部门2022年安排政府采购预算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16996.02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其中：政府采购货物支出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535.16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万元、政府采购工程支出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6589.46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万元、政府采购服务支出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9871.40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万元。主要项目是：房屋租赁及物业费项目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7855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04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万元，商务中心餐饮托管费用项目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373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75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，智慧东疆建设项目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>6000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（三）国有资产占用情况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各单位共有车辆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辆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（其中含3辆新区政府购买的应急保障用车，目前为东疆在使用）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，其中：主要领导干部用车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辆、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应急保障用车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辆、执法执勤用车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辆、特种专业技术用车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其他用车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辆，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其他用车主要包括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。单价50万元以上的通用设备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台（套），单价100万元以上的专用设备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台（套）。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（四）绩效目标设置情况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年，本部门实行绩效目标管理的项目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39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个，涉及预算金额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17893.40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（五）专业性名词解释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1.部门预算。是指主管预算部门依据相关法律、法规和政策规定及其行使职能需要，组织所属预算单位编制并逐级上报、审核、汇总，经财政部门审核后按程序依法批准的部门综合收支计划。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五、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202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年部门预算表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一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 xml:space="preserve"> 202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年收支预算总表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二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 xml:space="preserve"> 202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年收入预算总表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 xml:space="preserve"> 202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年支出预算总表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四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 xml:space="preserve"> 202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年财政拨款收支预算总表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五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 xml:space="preserve"> 202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年一般公共预算支出预算表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六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 xml:space="preserve"> 202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年一般公共预算基本支出预算表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七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年一般公共预算“三公”经费支出预算表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八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 xml:space="preserve"> 202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年政府性基金预算支出预算表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九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年国有资本经营预算支出情况表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十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 xml:space="preserve"> 202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年项目支出预算表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十一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）202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年政府采购预算表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十二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）202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年项目支出绩效目标表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关于空表的说明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“本部门202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年财政拨款政府性基金预算支出预算表为空表”。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  <w:t>“本部门2022年国有资本经营预算支出情况表为空表”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highlight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348EF"/>
    <w:multiLevelType w:val="singleLevel"/>
    <w:tmpl w:val="95D348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zRlYmVlY2I1Yzg0MTBmN2JmM2NjMGEyMjU0MmQifQ=="/>
  </w:docVars>
  <w:rsids>
    <w:rsidRoot w:val="00000000"/>
    <w:rsid w:val="0F5B684F"/>
    <w:rsid w:val="14FD767C"/>
    <w:rsid w:val="162933F8"/>
    <w:rsid w:val="20B15407"/>
    <w:rsid w:val="456171B9"/>
    <w:rsid w:val="5B501C03"/>
    <w:rsid w:val="702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2023-09-23T15:57:00Z</dcterms:created>
  <dc:creator>cassi</dc:creator>
  <cp:lastModifiedBy>天蓝</cp:lastModifiedBy>
  <dcterms:modified xsi:type="dcterms:W3CDTF">2023-09-26T08:07:26Z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05070D1479CF4E98879F03214CA9F1B8_13</vt:lpwstr>
  </property>
</Properties>
</file>